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Набор посуды для инвалидов и пожилых людей DStrana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https://dostupnaya-strana.ru/products/nabor-posudy-dlya-invalidov-i-pozhilykh-liudei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color w:val="434142"/>
                <w:highlight w:val="white"/>
                <w:rtl w:val="0"/>
              </w:rPr>
              <w:t xml:space="preserve">Набор посуды для инвалидов и пожилых людей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Набор посуды для инвалидов и пожилых людей (малые средства реабилитации) предназначен для инвалидов и больных с нарушением функций опорно-двигательного аппарата при их самообслуживании в учреждениях социального обслуживания и в быту.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Способ хранения: Хранить в сухом, проветриваемом помещении, а также в условиях, предотвращающих загрязнение, механические повреждения.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Инструкции по уходу: Мыть теплой водой с легким раствором моющего средства.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       Количество предметов в наборе, шт: не менее 9, в том числе: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1.        Чашка с защитой от удушья, шт: не менее 1: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чашка с вырезом для носа и подстаканником с двумя ручками,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полипропилен, силикон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133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объем, мл: не менее 250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      Стакан с ограничением подачи жидкости, шт: не менее 1: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поильник с ручками и крышка с трубочкой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полипропилен, силикон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120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объем, мл: не менее 350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       Миска с защитой от проливания, шт: не менее 1: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глубокая тарелка, на присосках, удерживающих тарелку на месте, с высоким закругленным бортиком в форме совка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полипропилен, силикон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128х60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объем, мл: не менее 450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4.        Тарелка с защитой от проливания, шт: не менее 1: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тарелка на присосках, удерживающих тарелку на месте, с высоким бортиком с одной стороны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полипропилен, силикон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185х50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объем, мл: не менее 750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5.        Оградитель тарелок для пищи, шт: не менее 1: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бортик-ограничитель на тарелку со специальным желобком для плотного примыкания к тарелке.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поликарбонат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высота: не менее 37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диаметр: не менее 190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6.        Адаптивная ложка, шт: не менее 1: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столовая ложка с толстой ручкой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прибор имеет возможность утяжеления, конструкция ручки полая внутри: наличие.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ремешок для фиксации: наличие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возможность согнуть прибор под нужным углом: наличие.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нержавеющая сталь, силикон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250 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        Адаптивная ложка-вилка, шт: не менее 1: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столовый прибор с толстой ручкой в виде ложки с зубцами в передней части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прибор имеет возможность утяжеления, конструкция ручки полая внутри: наличие.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ремешок для фиксации: наличие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возможность согнуть прибор под нужным углом: наличие.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нержавеющая сталь, силикон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240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8.        Адаптивная вилка, шт: не менее 1: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вилка  с толстой ручкой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прибор имеет возможность утяжеления, конструкция ручки полая внутри: наличие.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ремешок для фиксации: наличие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возможность согнуть прибор под нужным углом: наличие.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нержавеющая сталь, силикон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250 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9.        Адаптивный нож, шт: не менее 1: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вид: нож  с толстой ручкой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прибор имеет возможность утяжеления, конструкция ручки полая внутри: наличие.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ремешок для фиксации: наличие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- материал изделия: нержавеющая сталь, силикон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- размер, мм: не менее 246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-68579</wp:posOffset>
              </wp:positionV>
              <wp:extent cx="2688590" cy="450850"/>
              <wp:effectExtent b="0" l="0" r="0" t="0"/>
              <wp:wrapSquare wrapText="bothSides" distB="45720" distT="4572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-68579</wp:posOffset>
              </wp:positionV>
              <wp:extent cx="2688590" cy="450850"/>
              <wp:effectExtent b="0" l="0" r="0" t="0"/>
              <wp:wrapSquare wrapText="bothSides" distB="45720" distT="45720" distL="114300" distR="114300"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590" cy="450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-175888</wp:posOffset>
          </wp:positionV>
          <wp:extent cx="1749425" cy="546735"/>
          <wp:effectExtent b="0" l="0" r="0" t="0"/>
          <wp:wrapNone/>
          <wp:docPr descr="Dostupnaya-Strana.ru" id="16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bor-posudy-dlya-invalidov-i-pozhilykh-liude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FSF2rD73EIKy0NcVgMwL26OpQ==">CgMxLjAyDmgudmhzM3hxNm90dnRjOAByITF1dGhsNUd2d0pVXzY2M2hQd04xZkgxOFF3QXJyYm5oNA==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